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w:t>
      </w:r>
    </w:p>
    <w:p>
      <w:r>
        <w:t>Bundesgericht (BGE), 1988-04-20, DE</w:t>
      </w:r>
    </w:p>
    <w:p>
      <w:r>
        <w:rPr>
          <w:b/>
        </w:rPr>
        <w:t xml:space="preserve">Quelle: </w:t>
      </w:r>
      <w:r>
        <w:t>https://mcp.opencaselaw.ch/entscheid/bge_114 III 5</w:t>
      </w:r>
    </w:p>
    <w:p>
      <w:r>
        <w:t>FR: ATF 114 III 5</w:t>
      </w:r>
    </w:p>
    <w:p>
      <w:r>
        <w:t>IT: DTF 114 III 5</w:t>
      </w:r>
    </w:p>
    <w:p>
      <w:pPr>
        <w:pStyle w:val="Heading2"/>
      </w:pPr>
      <w:r>
        <w:t>Regeste</w:t>
      </w:r>
    </w:p>
    <w:p>
      <w:r>
        <w:t>Regeste Art. 17 SchKG: Beschwerdeergänzung. Reicht ein nicht zur Vertretung befugtes Organ Beschwerde ein und wird diese nach Ablauf der Beschwerdefrist genehmigt, so können mit der Genehmigung der Beschwerde keine neuen Beschwerdepunkte erhoben werden.</w:t>
      </w:r>
    </w:p>
    <w:p>
      <w:pPr>
        <w:pStyle w:val="Heading2"/>
      </w:pPr>
      <w:r>
        <w:t>Erwägungen</w:t>
      </w:r>
    </w:p>
    <w:p>
      <w:r>
        <w:rPr>
          <w:b/>
        </w:rPr>
        <w:t>E. 3</w:t>
      </w:r>
    </w:p>
    <w:p>
      <w:r>
        <w:t>Auf die neue Rüge ist die kantonale Aufsichtsbehörde zu Recht nicht eingetreten. Das Bundesrecht kennt keine Bestimmung, wonach die Beschwerdefrist gemäss Art. 17 SchKG zur Ergänzung der Begründung aus zureichenden Gründen erstreckt werden könnte. Eine nach Fristablauf eingereichte Beschwerdeergänzung fällt daher ausser Betracht (FRITZSCHE/WALDER, Schuldbetreibung und Konkurs nach schweizerischem Recht, N 34 zu § 8; JAEGER, Schuldbetreibung und Konkurs, N 9 zu Art. 17 SchKG ; BGE 114 III 5 S. 6 SORG, Das Beschwerdeverfahren in Schuldbetreibungs- und Konkurssachen im Kanton Zürich, Diss. Zürich 1954, S. 82; ZR 81/1982 Nr. 57). Wohl hat die untere kantonale Aufsichtsbehörde der Stiftung nach dem Rückweisungsentscheid der kantonalen Aufsichtsbehörde - zu Unrecht - Frist zur Vernehmlassung angesetzt. Bei Art. 17 SchKG handelt es sich indes um eine gesetzliche Frist, die grundsätzlich nicht erstreckt werden kann (AMONN, Grundriss des Schuldbetreibungs- und Konkursrechts, 4. Aufl., N 17 f. zu § 11; FRITZSCHE/WALDER, a.a.O., N 109 zu § 13). Die Stiftung behauptet zu Recht nicht, es liege hier eine der Ausnahmen vor, die vom Gesetz vorgesehen sind ( Art. 66 Abs. 2-5 SchKG , vgl. dazu BGE 111 III 8 ; BGE 106 III 4 ; sowie Art. 33 SchKG , vgl. dazu BGE 101 III 16 f.). Ebensowenig ist ein Fall des Vertrauensschutzes gegeben. Der Beistand als rechtmässiger Vertreter der Stiftung hat nicht etwa die Beschwerdefrist wegen einer falschen Fristansetzung verpasst; die fragliche Frist war vielmehr bereits abgelaufen, als die untere kantonale Aufsichtsbehörde die Stiftung zur Vernehmlassung einlud. Zu berücksichtigen ist in dieser Hinsicht auch, dass der Beistand der Stiftung über das Zwangsvollstreckungsverfahren bestens informiert war, nachdem er die Stiftung in diesem Verfahren vertreten hat. Unter diesen Umständen konnte die Genehmigung der Prozesshandlungen von R. G. durch die Stiftung nur bewirken, dass die bereits eingereichte Beschwerde überprüft werden musste. Hingegen bestand kein Recht zur Ergänzung jener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